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62B72" w14:textId="77777777" w:rsidR="00171303" w:rsidRDefault="00171303"/>
    <w:p w14:paraId="685EF379" w14:textId="77777777" w:rsidR="000B61DD" w:rsidRPr="000B61DD" w:rsidRDefault="000B61DD" w:rsidP="000B61DD">
      <w:pPr>
        <w:pStyle w:val="ListParagraph"/>
        <w:numPr>
          <w:ilvl w:val="0"/>
          <w:numId w:val="2"/>
        </w:numPr>
      </w:pPr>
      <w:proofErr w:type="spellStart"/>
      <w:r w:rsidRPr="000B61DD">
        <w:rPr>
          <w:lang w:val="en-US"/>
        </w:rPr>
        <w:t>Palisano</w:t>
      </w:r>
      <w:proofErr w:type="spellEnd"/>
      <w:r w:rsidRPr="000B61DD">
        <w:rPr>
          <w:lang w:val="en-US"/>
        </w:rPr>
        <w:t xml:space="preserve"> RJ, </w:t>
      </w:r>
      <w:proofErr w:type="spellStart"/>
      <w:r w:rsidRPr="000B61DD">
        <w:rPr>
          <w:lang w:val="en-US"/>
        </w:rPr>
        <w:t>Chiarello</w:t>
      </w:r>
      <w:proofErr w:type="spellEnd"/>
      <w:r w:rsidRPr="000B61DD">
        <w:rPr>
          <w:lang w:val="en-US"/>
        </w:rPr>
        <w:t xml:space="preserve"> LA, King GA, et al. </w:t>
      </w:r>
      <w:r w:rsidRPr="000B61DD">
        <w:rPr>
          <w:b/>
          <w:bCs/>
          <w:lang w:val="en-US"/>
        </w:rPr>
        <w:t>Participation-based therapy for children with physical disabilities</w:t>
      </w:r>
      <w:r w:rsidRPr="000B61DD">
        <w:rPr>
          <w:lang w:val="en-US"/>
        </w:rPr>
        <w:t xml:space="preserve">. </w:t>
      </w:r>
      <w:proofErr w:type="spellStart"/>
      <w:r w:rsidRPr="000B61DD">
        <w:rPr>
          <w:lang w:val="en-US"/>
        </w:rPr>
        <w:t>Disabil</w:t>
      </w:r>
      <w:proofErr w:type="spellEnd"/>
      <w:r w:rsidRPr="000B61DD">
        <w:rPr>
          <w:lang w:val="en-US"/>
        </w:rPr>
        <w:t xml:space="preserve"> </w:t>
      </w:r>
      <w:proofErr w:type="spellStart"/>
      <w:r w:rsidRPr="000B61DD">
        <w:rPr>
          <w:lang w:val="en-US"/>
        </w:rPr>
        <w:t>Rehabil</w:t>
      </w:r>
      <w:proofErr w:type="spellEnd"/>
      <w:r w:rsidRPr="000B61DD">
        <w:rPr>
          <w:lang w:val="en-US"/>
        </w:rPr>
        <w:t xml:space="preserve">. </w:t>
      </w:r>
      <w:r w:rsidRPr="000B61DD">
        <w:rPr>
          <w:b/>
          <w:bCs/>
          <w:lang w:val="en-US"/>
        </w:rPr>
        <w:t>2012</w:t>
      </w:r>
      <w:r w:rsidRPr="000B61DD">
        <w:rPr>
          <w:lang w:val="en-US"/>
        </w:rPr>
        <w:t>; 34(12):1041–1052.</w:t>
      </w:r>
    </w:p>
    <w:p w14:paraId="1DAF5F0C" w14:textId="77777777" w:rsidR="000B61DD" w:rsidRPr="000B61DD" w:rsidRDefault="000B61DD" w:rsidP="000B61DD">
      <w:pPr>
        <w:pStyle w:val="ListParagraph"/>
        <w:numPr>
          <w:ilvl w:val="1"/>
          <w:numId w:val="2"/>
        </w:numPr>
        <w:rPr>
          <w:lang w:val="en-US"/>
        </w:rPr>
      </w:pPr>
      <w:r w:rsidRPr="000B61DD">
        <w:rPr>
          <w:lang w:val="en-US"/>
        </w:rPr>
        <w:t xml:space="preserve">Best-practice rehabilitation interventions are </w:t>
      </w:r>
      <w:r w:rsidRPr="000B61DD">
        <w:rPr>
          <w:b/>
          <w:bCs/>
          <w:lang w:val="en-US"/>
        </w:rPr>
        <w:t>top-down</w:t>
      </w:r>
      <w:r w:rsidRPr="000B61DD">
        <w:rPr>
          <w:lang w:val="en-US"/>
        </w:rPr>
        <w:t xml:space="preserve">, </w:t>
      </w:r>
      <w:proofErr w:type="gramStart"/>
      <w:r w:rsidRPr="000B61DD">
        <w:rPr>
          <w:lang w:val="en-US"/>
        </w:rPr>
        <w:t>i.e.</w:t>
      </w:r>
      <w:proofErr w:type="gramEnd"/>
      <w:r w:rsidRPr="000B61DD">
        <w:rPr>
          <w:lang w:val="en-US"/>
        </w:rPr>
        <w:t xml:space="preserve"> they are child/family-</w:t>
      </w:r>
      <w:proofErr w:type="spellStart"/>
      <w:r w:rsidRPr="000B61DD">
        <w:rPr>
          <w:lang w:val="en-US"/>
        </w:rPr>
        <w:t>centred</w:t>
      </w:r>
      <w:proofErr w:type="spellEnd"/>
      <w:r w:rsidRPr="000B61DD">
        <w:rPr>
          <w:lang w:val="en-US"/>
        </w:rPr>
        <w:t xml:space="preserve">, </w:t>
      </w:r>
      <w:r w:rsidRPr="000B61DD">
        <w:rPr>
          <w:b/>
          <w:bCs/>
          <w:lang w:val="en-US"/>
        </w:rPr>
        <w:t>participation-focused</w:t>
      </w:r>
      <w:r w:rsidRPr="000B61DD">
        <w:rPr>
          <w:lang w:val="en-US"/>
        </w:rPr>
        <w:t xml:space="preserve">, and with explicit reference to the child’s </w:t>
      </w:r>
      <w:r w:rsidRPr="000B61DD">
        <w:rPr>
          <w:b/>
          <w:bCs/>
          <w:lang w:val="en-US"/>
        </w:rPr>
        <w:t>environment and context</w:t>
      </w:r>
    </w:p>
    <w:p w14:paraId="6BDE0D06" w14:textId="77777777" w:rsidR="000B61DD" w:rsidRPr="000B61DD" w:rsidRDefault="000B61DD" w:rsidP="000B61DD">
      <w:pPr>
        <w:pStyle w:val="ListParagraph"/>
        <w:numPr>
          <w:ilvl w:val="0"/>
          <w:numId w:val="2"/>
        </w:numPr>
      </w:pPr>
      <w:r w:rsidRPr="000B61DD">
        <w:t xml:space="preserve">Novak, I., </w:t>
      </w:r>
      <w:proofErr w:type="spellStart"/>
      <w:r w:rsidRPr="000B61DD">
        <w:t>te</w:t>
      </w:r>
      <w:proofErr w:type="spellEnd"/>
      <w:r w:rsidRPr="000B61DD">
        <w:t xml:space="preserve"> Velde, A., Hines, A., Stanton, E., Mc </w:t>
      </w:r>
      <w:proofErr w:type="spellStart"/>
      <w:r w:rsidRPr="000B61DD">
        <w:t>Namara</w:t>
      </w:r>
      <w:proofErr w:type="spellEnd"/>
      <w:r w:rsidRPr="000B61DD">
        <w:t>, M., Paton, M. C. B., … Morgan, C. (</w:t>
      </w:r>
      <w:r w:rsidRPr="000B61DD">
        <w:rPr>
          <w:b/>
          <w:bCs/>
        </w:rPr>
        <w:t>2021</w:t>
      </w:r>
      <w:r w:rsidRPr="000B61DD">
        <w:t xml:space="preserve">). </w:t>
      </w:r>
      <w:r w:rsidRPr="000B61DD">
        <w:rPr>
          <w:b/>
          <w:bCs/>
        </w:rPr>
        <w:t>Rehabilitation Evidence-Based Decision-Making: The READ Model</w:t>
      </w:r>
      <w:r w:rsidRPr="000B61DD">
        <w:t xml:space="preserve">. </w:t>
      </w:r>
      <w:r w:rsidRPr="000B61DD">
        <w:rPr>
          <w:i/>
          <w:iCs/>
        </w:rPr>
        <w:t>Frontiers in Rehabilitation Sciences</w:t>
      </w:r>
      <w:r w:rsidRPr="000B61DD">
        <w:t xml:space="preserve">, </w:t>
      </w:r>
      <w:r w:rsidRPr="000B61DD">
        <w:rPr>
          <w:i/>
          <w:iCs/>
        </w:rPr>
        <w:t>2</w:t>
      </w:r>
      <w:r w:rsidRPr="000B61DD">
        <w:t>. https://doi.org/10.3389/fresc.2021.726410</w:t>
      </w:r>
    </w:p>
    <w:p w14:paraId="40A68BD3" w14:textId="77777777" w:rsidR="000B61DD" w:rsidRPr="000B61DD" w:rsidRDefault="000B61DD" w:rsidP="000B61DD">
      <w:pPr>
        <w:pStyle w:val="ListParagraph"/>
        <w:numPr>
          <w:ilvl w:val="1"/>
          <w:numId w:val="2"/>
        </w:numPr>
      </w:pPr>
      <w:r w:rsidRPr="000B61DD">
        <w:rPr>
          <w:lang w:val="en-US"/>
        </w:rPr>
        <w:t xml:space="preserve">The aim of assessment is </w:t>
      </w:r>
      <w:r w:rsidRPr="000B61DD">
        <w:rPr>
          <w:b/>
          <w:bCs/>
          <w:lang w:val="en-US"/>
        </w:rPr>
        <w:t>not to identify deficits at the body structures level</w:t>
      </w:r>
      <w:r w:rsidRPr="000B61DD">
        <w:rPr>
          <w:lang w:val="en-US"/>
        </w:rPr>
        <w:t>, but to ascertain which of the goal limiting factors are treatable.</w:t>
      </w:r>
    </w:p>
    <w:p w14:paraId="3B77F760" w14:textId="77777777" w:rsidR="000B61DD" w:rsidRDefault="000B61DD" w:rsidP="000B61DD">
      <w:pPr>
        <w:pStyle w:val="NormalWeb"/>
        <w:numPr>
          <w:ilvl w:val="0"/>
          <w:numId w:val="2"/>
        </w:numPr>
      </w:pPr>
      <w:proofErr w:type="spellStart"/>
      <w:r>
        <w:t>Paleg</w:t>
      </w:r>
      <w:proofErr w:type="spellEnd"/>
      <w:r>
        <w:t>, G., &amp; Livingstone, R. (</w:t>
      </w:r>
      <w:r w:rsidRPr="000B61DD">
        <w:rPr>
          <w:b/>
          <w:bCs/>
        </w:rPr>
        <w:t>2015</w:t>
      </w:r>
      <w:r>
        <w:t xml:space="preserve">). </w:t>
      </w:r>
      <w:r w:rsidRPr="000B61DD">
        <w:rPr>
          <w:b/>
          <w:bCs/>
        </w:rPr>
        <w:t>Outcomes of gait trainer use in home and school settings for children with motor impairments: A systematic review</w:t>
      </w:r>
      <w:r>
        <w:t xml:space="preserve">. </w:t>
      </w:r>
      <w:r>
        <w:rPr>
          <w:i/>
          <w:iCs/>
        </w:rPr>
        <w:t>Clinical Rehabilitation</w:t>
      </w:r>
      <w:r>
        <w:t xml:space="preserve">, </w:t>
      </w:r>
      <w:r>
        <w:rPr>
          <w:i/>
          <w:iCs/>
        </w:rPr>
        <w:t>29</w:t>
      </w:r>
      <w:r>
        <w:t>(11), 1077–1091. https://doi.org/10.1177/0269215514565947</w:t>
      </w:r>
    </w:p>
    <w:p w14:paraId="2EB4C7BA" w14:textId="63F5FC36" w:rsidR="000B61DD" w:rsidRDefault="000B61DD" w:rsidP="000B61DD">
      <w:pPr>
        <w:pStyle w:val="ListParagraph"/>
        <w:numPr>
          <w:ilvl w:val="1"/>
          <w:numId w:val="2"/>
        </w:numPr>
        <w:rPr>
          <w:lang w:val="en-US"/>
        </w:rPr>
      </w:pPr>
      <w:r w:rsidRPr="002715E7">
        <w:rPr>
          <w:lang w:val="en-US"/>
        </w:rPr>
        <w:t>evidence for gait trainers is primarily descriptive and insufficient to draw conclusions</w:t>
      </w:r>
    </w:p>
    <w:p w14:paraId="6ED99402" w14:textId="2C0FFC40" w:rsidR="000B61DD" w:rsidRDefault="000B61DD" w:rsidP="000B61DD">
      <w:pPr>
        <w:pStyle w:val="ListParagraph"/>
        <w:ind w:left="1440"/>
        <w:rPr>
          <w:lang w:val="en-US"/>
        </w:rPr>
      </w:pPr>
    </w:p>
    <w:p w14:paraId="3BE17253" w14:textId="77777777" w:rsidR="000B61DD" w:rsidRDefault="000B61DD" w:rsidP="000B61DD">
      <w:pPr>
        <w:rPr>
          <w:b/>
          <w:bCs/>
          <w:lang w:val="en-US"/>
        </w:rPr>
      </w:pPr>
      <w:r>
        <w:rPr>
          <w:b/>
          <w:bCs/>
          <w:lang w:val="en-US"/>
        </w:rPr>
        <w:t>BS&amp;F vs Participation</w:t>
      </w:r>
    </w:p>
    <w:p w14:paraId="7C4CEFE6" w14:textId="77777777" w:rsidR="000B61DD" w:rsidRPr="000B61DD" w:rsidRDefault="000B61DD" w:rsidP="000B61DD">
      <w:pPr>
        <w:pStyle w:val="ListParagraph"/>
        <w:ind w:left="1440"/>
        <w:rPr>
          <w:lang w:val="en-US"/>
        </w:rPr>
      </w:pPr>
    </w:p>
    <w:p w14:paraId="1AF330DA" w14:textId="636B8406" w:rsidR="00171303" w:rsidRPr="00171303" w:rsidRDefault="00171303" w:rsidP="00171303">
      <w:pPr>
        <w:numPr>
          <w:ilvl w:val="0"/>
          <w:numId w:val="2"/>
        </w:numPr>
      </w:pPr>
      <w:r w:rsidRPr="00171303">
        <w:rPr>
          <w:lang w:val="en-US"/>
        </w:rPr>
        <w:t>Salem Y, Godwin EM. (</w:t>
      </w:r>
      <w:r w:rsidRPr="00171303">
        <w:rPr>
          <w:b/>
          <w:bCs/>
          <w:lang w:val="en-US"/>
        </w:rPr>
        <w:t>2009) Effects of task-oriented training on mobility function in children with cerebral palsy</w:t>
      </w:r>
      <w:r w:rsidRPr="00171303">
        <w:rPr>
          <w:lang w:val="en-US"/>
        </w:rPr>
        <w:t xml:space="preserve">. </w:t>
      </w:r>
      <w:proofErr w:type="spellStart"/>
      <w:r w:rsidRPr="00171303">
        <w:rPr>
          <w:lang w:val="en-US"/>
        </w:rPr>
        <w:t>NeuroRehabilitation</w:t>
      </w:r>
      <w:proofErr w:type="spellEnd"/>
      <w:r w:rsidRPr="00171303">
        <w:rPr>
          <w:lang w:val="en-US"/>
        </w:rPr>
        <w:t xml:space="preserve">; 24:307–13. </w:t>
      </w:r>
    </w:p>
    <w:p w14:paraId="114CE7AC" w14:textId="4E606FE6" w:rsidR="00171303" w:rsidRPr="00171303" w:rsidRDefault="00171303" w:rsidP="00171303">
      <w:pPr>
        <w:numPr>
          <w:ilvl w:val="1"/>
          <w:numId w:val="2"/>
        </w:numPr>
      </w:pPr>
      <w:r w:rsidRPr="00352E11">
        <w:rPr>
          <w:lang w:val="en-US"/>
        </w:rPr>
        <w:t xml:space="preserve">10 children (5 in each group) </w:t>
      </w:r>
      <w:r w:rsidRPr="00352E11">
        <w:t xml:space="preserve">conventional physical therapy focused on improving walking and balance through facilitation and normalization of movement patterns vs strength training focused on strengthening the lower extremities and practicing functional tasks </w:t>
      </w:r>
      <w:proofErr w:type="gramStart"/>
      <w:r w:rsidRPr="00352E11">
        <w:t>similar to</w:t>
      </w:r>
      <w:proofErr w:type="gramEnd"/>
      <w:r w:rsidRPr="00352E11">
        <w:t xml:space="preserve"> those the child performs during daily activities. </w:t>
      </w:r>
      <w:r w:rsidRPr="00352E11">
        <w:rPr>
          <w:lang w:val="en-US"/>
        </w:rPr>
        <w:t xml:space="preserve">&gt;&gt; Significant improvements on GMFM domains D&amp;E related to standing, walking, </w:t>
      </w:r>
      <w:proofErr w:type="gramStart"/>
      <w:r w:rsidRPr="00352E11">
        <w:rPr>
          <w:lang w:val="en-US"/>
        </w:rPr>
        <w:t>running</w:t>
      </w:r>
      <w:proofErr w:type="gramEnd"/>
      <w:r w:rsidRPr="00352E11">
        <w:rPr>
          <w:lang w:val="en-US"/>
        </w:rPr>
        <w:t xml:space="preserve"> and jumping</w:t>
      </w:r>
    </w:p>
    <w:p w14:paraId="24BF865B" w14:textId="77777777" w:rsidR="00171303" w:rsidRDefault="00171303" w:rsidP="00171303">
      <w:pPr>
        <w:numPr>
          <w:ilvl w:val="0"/>
          <w:numId w:val="2"/>
        </w:numPr>
      </w:pPr>
      <w:proofErr w:type="spellStart"/>
      <w:r w:rsidRPr="00171303">
        <w:rPr>
          <w:lang w:val="en-US"/>
        </w:rPr>
        <w:t>Ketelaar</w:t>
      </w:r>
      <w:proofErr w:type="spellEnd"/>
      <w:r w:rsidRPr="00171303">
        <w:rPr>
          <w:lang w:val="en-US"/>
        </w:rPr>
        <w:t xml:space="preserve"> M, Vermeer A, Hart </w:t>
      </w:r>
      <w:proofErr w:type="spellStart"/>
      <w:r w:rsidRPr="00171303">
        <w:rPr>
          <w:lang w:val="en-US"/>
        </w:rPr>
        <w:t>Ht</w:t>
      </w:r>
      <w:proofErr w:type="spellEnd"/>
      <w:r w:rsidRPr="00171303">
        <w:rPr>
          <w:lang w:val="en-US"/>
        </w:rPr>
        <w:t xml:space="preserve">, </w:t>
      </w:r>
      <w:proofErr w:type="spellStart"/>
      <w:r w:rsidRPr="00171303">
        <w:rPr>
          <w:lang w:val="en-US"/>
        </w:rPr>
        <w:t>Petegem</w:t>
      </w:r>
      <w:proofErr w:type="spellEnd"/>
      <w:r w:rsidRPr="00171303">
        <w:rPr>
          <w:lang w:val="en-US"/>
        </w:rPr>
        <w:t xml:space="preserve">-van Beek </w:t>
      </w:r>
      <w:proofErr w:type="spellStart"/>
      <w:r w:rsidRPr="00171303">
        <w:rPr>
          <w:lang w:val="en-US"/>
        </w:rPr>
        <w:t>Ev</w:t>
      </w:r>
      <w:proofErr w:type="spellEnd"/>
      <w:r w:rsidRPr="00171303">
        <w:rPr>
          <w:lang w:val="en-US"/>
        </w:rPr>
        <w:t xml:space="preserve">, Helders </w:t>
      </w:r>
      <w:proofErr w:type="gramStart"/>
      <w:r w:rsidRPr="00171303">
        <w:rPr>
          <w:lang w:val="en-US"/>
        </w:rPr>
        <w:t>PJM.(</w:t>
      </w:r>
      <w:proofErr w:type="gramEnd"/>
      <w:r w:rsidRPr="00171303">
        <w:rPr>
          <w:b/>
          <w:bCs/>
          <w:lang w:val="en-US"/>
        </w:rPr>
        <w:t>2001)</w:t>
      </w:r>
      <w:r w:rsidRPr="00171303">
        <w:rPr>
          <w:lang w:val="en-US"/>
        </w:rPr>
        <w:t xml:space="preserve"> </w:t>
      </w:r>
      <w:r w:rsidRPr="00171303">
        <w:rPr>
          <w:b/>
          <w:bCs/>
          <w:lang w:val="en-US"/>
        </w:rPr>
        <w:t>Effects of a functional therapy program on motor abilities of children with cerebral palsy</w:t>
      </w:r>
      <w:r w:rsidRPr="00171303">
        <w:rPr>
          <w:lang w:val="en-US"/>
        </w:rPr>
        <w:t xml:space="preserve">. Phys </w:t>
      </w:r>
      <w:proofErr w:type="spellStart"/>
      <w:r w:rsidRPr="00171303">
        <w:rPr>
          <w:lang w:val="en-US"/>
        </w:rPr>
        <w:t>Ther</w:t>
      </w:r>
      <w:proofErr w:type="spellEnd"/>
      <w:r w:rsidRPr="00171303">
        <w:rPr>
          <w:lang w:val="en-US"/>
        </w:rPr>
        <w:t>.; 81:1534–45. [PubMed: 11688590]</w:t>
      </w:r>
    </w:p>
    <w:p w14:paraId="57208968" w14:textId="7BC41F79" w:rsidR="00171303" w:rsidRPr="00171303" w:rsidRDefault="00171303" w:rsidP="00171303">
      <w:pPr>
        <w:numPr>
          <w:ilvl w:val="1"/>
          <w:numId w:val="2"/>
        </w:numPr>
      </w:pPr>
      <w:r w:rsidRPr="00171303">
        <w:rPr>
          <w:lang w:val="en-US"/>
        </w:rPr>
        <w:t xml:space="preserve">Effects of a </w:t>
      </w:r>
      <w:r w:rsidRPr="00171303">
        <w:rPr>
          <w:b/>
          <w:bCs/>
          <w:lang w:val="en-US"/>
        </w:rPr>
        <w:t xml:space="preserve">functional therapy program on motor abilities </w:t>
      </w:r>
      <w:r w:rsidRPr="00171303">
        <w:rPr>
          <w:lang w:val="en-US"/>
        </w:rPr>
        <w:t>of children with cerebral palsy. 55 children – compared physiotherapy focused on normalizing movement to physiotherapy focused on practicing functional tasks &gt;&gt; no difference in GMFM but Functional task group improved (not statistical) more on functional tasks and caregiver assistance scales using the PEDI</w:t>
      </w:r>
    </w:p>
    <w:p w14:paraId="3AF082E8" w14:textId="2AE4B638" w:rsidR="00171303" w:rsidRPr="00171303" w:rsidRDefault="00171303" w:rsidP="00171303">
      <w:pPr>
        <w:numPr>
          <w:ilvl w:val="0"/>
          <w:numId w:val="2"/>
        </w:numPr>
      </w:pPr>
      <w:r w:rsidRPr="00171303">
        <w:rPr>
          <w:lang w:val="en-US"/>
        </w:rPr>
        <w:t xml:space="preserve">Law, M. C., Darrah, J., Pollock, N., Wilson, B., Russell, D. J., Walter, S. D., … </w:t>
      </w:r>
      <w:proofErr w:type="spellStart"/>
      <w:r w:rsidRPr="00171303">
        <w:rPr>
          <w:lang w:val="en-US"/>
        </w:rPr>
        <w:t>Galuppi</w:t>
      </w:r>
      <w:proofErr w:type="spellEnd"/>
      <w:r w:rsidRPr="00171303">
        <w:rPr>
          <w:lang w:val="en-US"/>
        </w:rPr>
        <w:t>, B. (</w:t>
      </w:r>
      <w:r w:rsidRPr="00171303">
        <w:rPr>
          <w:b/>
          <w:bCs/>
          <w:lang w:val="en-US"/>
        </w:rPr>
        <w:t>2011</w:t>
      </w:r>
      <w:r w:rsidRPr="00171303">
        <w:rPr>
          <w:lang w:val="en-US"/>
        </w:rPr>
        <w:t xml:space="preserve">). </w:t>
      </w:r>
      <w:r w:rsidRPr="00171303">
        <w:rPr>
          <w:b/>
          <w:bCs/>
          <w:lang w:val="en-US"/>
        </w:rPr>
        <w:t>Focus on function: A cluster, randomized controlled trial comparing child- versus context-focused intervention for young children with cerebral palsy</w:t>
      </w:r>
      <w:r w:rsidRPr="00171303">
        <w:rPr>
          <w:lang w:val="en-US"/>
        </w:rPr>
        <w:t xml:space="preserve">. </w:t>
      </w:r>
      <w:r w:rsidRPr="00171303">
        <w:rPr>
          <w:i/>
          <w:iCs/>
          <w:lang w:val="en-US"/>
        </w:rPr>
        <w:t>Developmental Medicine and Child Neurology</w:t>
      </w:r>
      <w:r w:rsidRPr="00171303">
        <w:rPr>
          <w:lang w:val="en-US"/>
        </w:rPr>
        <w:t xml:space="preserve">, </w:t>
      </w:r>
      <w:r w:rsidRPr="00171303">
        <w:rPr>
          <w:i/>
          <w:iCs/>
          <w:lang w:val="en-US"/>
        </w:rPr>
        <w:t>53</w:t>
      </w:r>
      <w:r w:rsidRPr="00171303">
        <w:rPr>
          <w:lang w:val="en-US"/>
        </w:rPr>
        <w:t xml:space="preserve">(7), 621–629. </w:t>
      </w:r>
    </w:p>
    <w:p w14:paraId="232F4136" w14:textId="66E5774D" w:rsidR="00171303" w:rsidRPr="00171303" w:rsidRDefault="00171303" w:rsidP="00171303">
      <w:pPr>
        <w:numPr>
          <w:ilvl w:val="1"/>
          <w:numId w:val="2"/>
        </w:numPr>
      </w:pPr>
      <w:r w:rsidRPr="00352E11">
        <w:rPr>
          <w:lang w:val="en-US"/>
        </w:rPr>
        <w:t xml:space="preserve">71 vs 51 </w:t>
      </w:r>
      <w:proofErr w:type="gramStart"/>
      <w:r w:rsidRPr="00352E11">
        <w:rPr>
          <w:lang w:val="en-US"/>
        </w:rPr>
        <w:t>-  on</w:t>
      </w:r>
      <w:proofErr w:type="gramEnd"/>
      <w:r w:rsidRPr="00352E11">
        <w:rPr>
          <w:lang w:val="en-US"/>
        </w:rPr>
        <w:t xml:space="preserve"> remediation of impairments and building children's skills and abilities through practice of functional activities vs changing task or environment. Children encouraged to use compensatory strategies to achieve functional tasks. Therapists were instructed not to include remediation of the children's impairments &gt;&gt; no significant difference between treatment groups at follow up with the authors concluding that a focus on remediating impairments was questionable.</w:t>
      </w:r>
    </w:p>
    <w:p w14:paraId="37DACA7C" w14:textId="0354E4C1" w:rsidR="00171303" w:rsidRPr="00171303" w:rsidRDefault="00171303" w:rsidP="00171303">
      <w:pPr>
        <w:numPr>
          <w:ilvl w:val="0"/>
          <w:numId w:val="2"/>
        </w:numPr>
      </w:pPr>
      <w:proofErr w:type="spellStart"/>
      <w:r w:rsidRPr="00171303">
        <w:rPr>
          <w:lang w:val="en-US"/>
        </w:rPr>
        <w:t>Bugajski</w:t>
      </w:r>
      <w:proofErr w:type="spellEnd"/>
      <w:r w:rsidRPr="00171303">
        <w:rPr>
          <w:lang w:val="en-US"/>
        </w:rPr>
        <w:t xml:space="preserve"> S, Christian A. (</w:t>
      </w:r>
      <w:proofErr w:type="gramStart"/>
      <w:r w:rsidRPr="00171303">
        <w:rPr>
          <w:b/>
          <w:bCs/>
          <w:lang w:val="en-US"/>
        </w:rPr>
        <w:t>2013</w:t>
      </w:r>
      <w:r w:rsidRPr="00171303">
        <w:rPr>
          <w:lang w:val="en-US"/>
        </w:rPr>
        <w:t xml:space="preserve"> )</w:t>
      </w:r>
      <w:r w:rsidRPr="00171303">
        <w:rPr>
          <w:b/>
          <w:bCs/>
          <w:lang w:val="en-US"/>
        </w:rPr>
        <w:t>Exploring</w:t>
      </w:r>
      <w:proofErr w:type="gramEnd"/>
      <w:r w:rsidRPr="00171303">
        <w:rPr>
          <w:b/>
          <w:bCs/>
          <w:lang w:val="en-US"/>
        </w:rPr>
        <w:t xml:space="preserve"> yoga’s effects on impairments and functional limitations for a 9-year-old female with cerebral palsy a case report</w:t>
      </w:r>
      <w:r w:rsidRPr="00171303">
        <w:rPr>
          <w:lang w:val="en-US"/>
        </w:rPr>
        <w:t xml:space="preserve">. J Yoga Phys </w:t>
      </w:r>
      <w:proofErr w:type="spellStart"/>
      <w:r w:rsidRPr="00171303">
        <w:rPr>
          <w:lang w:val="en-US"/>
        </w:rPr>
        <w:t>Ther</w:t>
      </w:r>
      <w:proofErr w:type="spellEnd"/>
      <w:r w:rsidRPr="00171303">
        <w:rPr>
          <w:lang w:val="en-US"/>
        </w:rPr>
        <w:t>; 3: 1000140.</w:t>
      </w:r>
    </w:p>
    <w:p w14:paraId="6AD86474" w14:textId="44874E96" w:rsidR="00171303" w:rsidRPr="00171303" w:rsidRDefault="00171303" w:rsidP="00171303">
      <w:pPr>
        <w:numPr>
          <w:ilvl w:val="1"/>
          <w:numId w:val="2"/>
        </w:numPr>
      </w:pPr>
      <w:r w:rsidRPr="00352E11">
        <w:t>The patient demonstrated improvement in balance, flexibility, strength, and functional mobility following the six week yoga program.</w:t>
      </w:r>
    </w:p>
    <w:p w14:paraId="5F96C678" w14:textId="1C579777" w:rsidR="00171303" w:rsidRPr="00171303" w:rsidRDefault="00171303" w:rsidP="00171303">
      <w:pPr>
        <w:numPr>
          <w:ilvl w:val="0"/>
          <w:numId w:val="2"/>
        </w:numPr>
      </w:pPr>
      <w:r w:rsidRPr="00171303">
        <w:rPr>
          <w:lang w:val="en-US"/>
        </w:rPr>
        <w:t>Walsh SF, Scharf MG. (</w:t>
      </w:r>
      <w:r w:rsidRPr="00171303">
        <w:rPr>
          <w:b/>
          <w:bCs/>
          <w:lang w:val="en-US"/>
        </w:rPr>
        <w:t>2014</w:t>
      </w:r>
      <w:r w:rsidRPr="00171303">
        <w:rPr>
          <w:lang w:val="en-US"/>
        </w:rPr>
        <w:t xml:space="preserve">) </w:t>
      </w:r>
      <w:r w:rsidRPr="00171303">
        <w:rPr>
          <w:b/>
          <w:bCs/>
          <w:lang w:val="en-US"/>
        </w:rPr>
        <w:t xml:space="preserve">Effects of a recreational </w:t>
      </w:r>
      <w:proofErr w:type="gramStart"/>
      <w:r w:rsidRPr="00171303">
        <w:rPr>
          <w:b/>
          <w:bCs/>
          <w:lang w:val="en-US"/>
        </w:rPr>
        <w:t>ice skating</w:t>
      </w:r>
      <w:proofErr w:type="gramEnd"/>
      <w:r w:rsidRPr="00171303">
        <w:rPr>
          <w:b/>
          <w:bCs/>
          <w:lang w:val="en-US"/>
        </w:rPr>
        <w:t xml:space="preserve"> program on the functional mobility of a child with cerebral palsy</w:t>
      </w:r>
      <w:r w:rsidRPr="00171303">
        <w:rPr>
          <w:lang w:val="en-US"/>
        </w:rPr>
        <w:t xml:space="preserve">. </w:t>
      </w:r>
      <w:proofErr w:type="spellStart"/>
      <w:r w:rsidRPr="00171303">
        <w:rPr>
          <w:lang w:val="en-US"/>
        </w:rPr>
        <w:t>Physiother</w:t>
      </w:r>
      <w:proofErr w:type="spellEnd"/>
      <w:r w:rsidRPr="00171303">
        <w:rPr>
          <w:lang w:val="en-US"/>
        </w:rPr>
        <w:t xml:space="preserve"> Theory </w:t>
      </w:r>
      <w:proofErr w:type="spellStart"/>
      <w:r w:rsidRPr="00171303">
        <w:rPr>
          <w:lang w:val="en-US"/>
        </w:rPr>
        <w:t>Pract</w:t>
      </w:r>
      <w:proofErr w:type="spellEnd"/>
      <w:r w:rsidRPr="00171303">
        <w:rPr>
          <w:lang w:val="en-US"/>
        </w:rPr>
        <w:t>; 30: 189–95.</w:t>
      </w:r>
    </w:p>
    <w:p w14:paraId="675A7CE1" w14:textId="1575BCFA" w:rsidR="00171303" w:rsidRPr="00171303" w:rsidRDefault="00171303" w:rsidP="00171303">
      <w:pPr>
        <w:numPr>
          <w:ilvl w:val="1"/>
          <w:numId w:val="2"/>
        </w:numPr>
      </w:pPr>
      <w:r w:rsidRPr="00352E11">
        <w:t>improved standing posture; independent transfer to and from the floor to stand; maintenance of independent standing for 3 min; independent walking for 10 feet; increased ability to isolate extremity musculature; after 4 month participating in an ice-skating programme for children with disabilities</w:t>
      </w:r>
    </w:p>
    <w:p w14:paraId="14F13F2F" w14:textId="77777777" w:rsidR="00171303" w:rsidRDefault="00171303" w:rsidP="00171303">
      <w:pPr>
        <w:numPr>
          <w:ilvl w:val="0"/>
          <w:numId w:val="2"/>
        </w:numPr>
      </w:pPr>
      <w:r w:rsidRPr="00171303">
        <w:rPr>
          <w:lang w:val="en-US"/>
        </w:rPr>
        <w:lastRenderedPageBreak/>
        <w:t xml:space="preserve">Reedman, S., Boyd, R. N., &amp; </w:t>
      </w:r>
      <w:proofErr w:type="spellStart"/>
      <w:r w:rsidRPr="00171303">
        <w:rPr>
          <w:lang w:val="en-US"/>
        </w:rPr>
        <w:t>Sakzewski</w:t>
      </w:r>
      <w:proofErr w:type="spellEnd"/>
      <w:r w:rsidRPr="00171303">
        <w:rPr>
          <w:lang w:val="en-US"/>
        </w:rPr>
        <w:t>, L. (</w:t>
      </w:r>
      <w:r w:rsidRPr="00171303">
        <w:rPr>
          <w:b/>
          <w:bCs/>
          <w:lang w:val="en-US"/>
        </w:rPr>
        <w:t>2017</w:t>
      </w:r>
      <w:r w:rsidRPr="00171303">
        <w:rPr>
          <w:lang w:val="en-US"/>
        </w:rPr>
        <w:t xml:space="preserve">). </w:t>
      </w:r>
      <w:r w:rsidRPr="00171303">
        <w:rPr>
          <w:b/>
          <w:bCs/>
          <w:lang w:val="en-US"/>
        </w:rPr>
        <w:t>The efficacy of interventions to increase physical activity participation of children with cerebral palsy: A systematic review and meta-analysis</w:t>
      </w:r>
      <w:r w:rsidRPr="00171303">
        <w:rPr>
          <w:lang w:val="en-US"/>
        </w:rPr>
        <w:t xml:space="preserve">. </w:t>
      </w:r>
      <w:r w:rsidRPr="00171303">
        <w:rPr>
          <w:i/>
          <w:iCs/>
          <w:lang w:val="en-US"/>
        </w:rPr>
        <w:t>Developmental Medicine and Child Neurology</w:t>
      </w:r>
      <w:r w:rsidRPr="00171303">
        <w:rPr>
          <w:lang w:val="en-US"/>
        </w:rPr>
        <w:t>, 1011–1018.</w:t>
      </w:r>
    </w:p>
    <w:p w14:paraId="48F1E8B0" w14:textId="07A2A5CB" w:rsidR="00171303" w:rsidRPr="00171303" w:rsidRDefault="00171303" w:rsidP="00171303">
      <w:pPr>
        <w:numPr>
          <w:ilvl w:val="1"/>
          <w:numId w:val="2"/>
        </w:numPr>
      </w:pPr>
      <w:r>
        <w:t>I</w:t>
      </w:r>
      <w:r w:rsidRPr="00171303">
        <w:rPr>
          <w:lang w:val="en-US"/>
        </w:rPr>
        <w:t xml:space="preserve">impairment focused approaches did not increase habitual leisure time physical activity and participation – note that this is true for the general population of non-disabled children to as the research indicates a </w:t>
      </w:r>
      <w:proofErr w:type="spellStart"/>
      <w:r w:rsidRPr="00171303">
        <w:rPr>
          <w:lang w:val="en-US"/>
        </w:rPr>
        <w:t>behaviour</w:t>
      </w:r>
      <w:proofErr w:type="spellEnd"/>
      <w:r w:rsidRPr="00171303">
        <w:rPr>
          <w:lang w:val="en-US"/>
        </w:rPr>
        <w:t xml:space="preserve"> change approach targeting the parent-child dyad is needed and has more to do with habits, intrinsic motivation and lifestyle than skill and ability.</w:t>
      </w:r>
    </w:p>
    <w:p w14:paraId="2397A74E" w14:textId="05BF0789" w:rsidR="00171303" w:rsidRDefault="00171303" w:rsidP="00171303">
      <w:pPr>
        <w:numPr>
          <w:ilvl w:val="0"/>
          <w:numId w:val="2"/>
        </w:numPr>
      </w:pPr>
      <w:r w:rsidRPr="00171303">
        <w:t xml:space="preserve">Kilgour, G., Adair, B., Stott, N. S., Steele, M., Hogan, A., &amp; </w:t>
      </w:r>
      <w:proofErr w:type="spellStart"/>
      <w:r w:rsidRPr="00171303">
        <w:t>Imms</w:t>
      </w:r>
      <w:proofErr w:type="spellEnd"/>
      <w:r w:rsidRPr="00171303">
        <w:t>, C.</w:t>
      </w:r>
      <w:r w:rsidRPr="00171303">
        <w:rPr>
          <w:b/>
          <w:bCs/>
        </w:rPr>
        <w:t xml:space="preserve"> (2021). Do physical activity interventions influence subsequent attendance and involvement in physical activities for children with cerebral palsy: a systematic review.</w:t>
      </w:r>
      <w:r w:rsidRPr="00171303">
        <w:t xml:space="preserve"> </w:t>
      </w:r>
      <w:r w:rsidRPr="00171303">
        <w:rPr>
          <w:i/>
          <w:iCs/>
        </w:rPr>
        <w:t>Disability and Rehabilitation</w:t>
      </w:r>
      <w:r w:rsidRPr="00171303">
        <w:t xml:space="preserve">, </w:t>
      </w:r>
      <w:r w:rsidRPr="00171303">
        <w:rPr>
          <w:i/>
          <w:iCs/>
        </w:rPr>
        <w:t>0</w:t>
      </w:r>
      <w:r w:rsidRPr="00171303">
        <w:t>(0), 1–17</w:t>
      </w:r>
    </w:p>
    <w:p w14:paraId="0C90BB62" w14:textId="68C8C6DC" w:rsidR="00171303" w:rsidRPr="00171303" w:rsidRDefault="00171303" w:rsidP="00171303">
      <w:pPr>
        <w:numPr>
          <w:ilvl w:val="1"/>
          <w:numId w:val="2"/>
        </w:numPr>
      </w:pPr>
      <w:r>
        <w:t xml:space="preserve">Addressed all levels of physical intervention including </w:t>
      </w:r>
      <w:proofErr w:type="spellStart"/>
      <w:r>
        <w:t>physicotherapy</w:t>
      </w:r>
      <w:proofErr w:type="spellEnd"/>
      <w:r>
        <w:t xml:space="preserve"> – a focus on physical skills did not increased participation in the long term</w:t>
      </w:r>
    </w:p>
    <w:p w14:paraId="0BFA1BDA" w14:textId="2578385C" w:rsidR="00171303" w:rsidRPr="00171303" w:rsidRDefault="00171303" w:rsidP="00171303">
      <w:pPr>
        <w:numPr>
          <w:ilvl w:val="0"/>
          <w:numId w:val="2"/>
        </w:numPr>
      </w:pPr>
      <w:proofErr w:type="spellStart"/>
      <w:r w:rsidRPr="00171303">
        <w:rPr>
          <w:lang w:val="en-US"/>
        </w:rPr>
        <w:t>Anaby</w:t>
      </w:r>
      <w:proofErr w:type="spellEnd"/>
      <w:r w:rsidRPr="00171303">
        <w:rPr>
          <w:lang w:val="en-US"/>
        </w:rPr>
        <w:t xml:space="preserve">, D., Avery, L., </w:t>
      </w:r>
      <w:proofErr w:type="spellStart"/>
      <w:r w:rsidRPr="00171303">
        <w:rPr>
          <w:lang w:val="en-US"/>
        </w:rPr>
        <w:t>Gorter</w:t>
      </w:r>
      <w:proofErr w:type="spellEnd"/>
      <w:r w:rsidRPr="00171303">
        <w:rPr>
          <w:lang w:val="en-US"/>
        </w:rPr>
        <w:t xml:space="preserve">, J. W., Levin, M. F., </w:t>
      </w:r>
      <w:proofErr w:type="spellStart"/>
      <w:r w:rsidRPr="00171303">
        <w:rPr>
          <w:lang w:val="en-US"/>
        </w:rPr>
        <w:t>Teplicky</w:t>
      </w:r>
      <w:proofErr w:type="spellEnd"/>
      <w:r w:rsidRPr="00171303">
        <w:rPr>
          <w:lang w:val="en-US"/>
        </w:rPr>
        <w:t>, R., Turner, L., … Hanes, J. (</w:t>
      </w:r>
      <w:r w:rsidRPr="00171303">
        <w:rPr>
          <w:b/>
          <w:bCs/>
          <w:lang w:val="en-US"/>
        </w:rPr>
        <w:t>2020</w:t>
      </w:r>
      <w:r w:rsidRPr="00171303">
        <w:rPr>
          <w:lang w:val="en-US"/>
        </w:rPr>
        <w:t xml:space="preserve">). </w:t>
      </w:r>
      <w:r w:rsidRPr="00171303">
        <w:rPr>
          <w:b/>
          <w:bCs/>
          <w:lang w:val="en-US"/>
        </w:rPr>
        <w:t xml:space="preserve">Improving body functions through participation in community activities among young people with physical disabilities. </w:t>
      </w:r>
      <w:r w:rsidRPr="00171303">
        <w:rPr>
          <w:i/>
          <w:iCs/>
          <w:lang w:val="en-US"/>
        </w:rPr>
        <w:t>Developmental Medicine and Child Neurology</w:t>
      </w:r>
      <w:r w:rsidRPr="00171303">
        <w:rPr>
          <w:lang w:val="en-US"/>
        </w:rPr>
        <w:t xml:space="preserve">, </w:t>
      </w:r>
      <w:r w:rsidRPr="00171303">
        <w:rPr>
          <w:i/>
          <w:iCs/>
          <w:lang w:val="en-US"/>
        </w:rPr>
        <w:t>62</w:t>
      </w:r>
      <w:r w:rsidRPr="00171303">
        <w:rPr>
          <w:lang w:val="en-US"/>
        </w:rPr>
        <w:t xml:space="preserve">(5), 640–646. </w:t>
      </w:r>
    </w:p>
    <w:p w14:paraId="1016F3EC" w14:textId="7E68C231" w:rsidR="00171303" w:rsidRPr="00171303" w:rsidRDefault="00171303" w:rsidP="00171303">
      <w:pPr>
        <w:numPr>
          <w:ilvl w:val="1"/>
          <w:numId w:val="2"/>
        </w:numPr>
      </w:pPr>
      <w:r w:rsidRPr="00352E11">
        <w:rPr>
          <w:lang w:val="en-US"/>
        </w:rPr>
        <w:t xml:space="preserve">Pathways and Resources for Engagement and Participation (PREP). Modifications of the environment and/or the activity </w:t>
      </w:r>
      <w:r w:rsidRPr="00171303">
        <w:rPr>
          <w:b/>
          <w:bCs/>
          <w:lang w:val="en-US"/>
        </w:rPr>
        <w:t>no focus</w:t>
      </w:r>
      <w:r>
        <w:rPr>
          <w:lang w:val="en-US"/>
        </w:rPr>
        <w:t xml:space="preserve"> </w:t>
      </w:r>
      <w:r w:rsidRPr="00352E11">
        <w:rPr>
          <w:b/>
          <w:bCs/>
          <w:lang w:val="en-US"/>
        </w:rPr>
        <w:t>on remediation of impaired body functions</w:t>
      </w:r>
      <w:r w:rsidRPr="00352E11">
        <w:rPr>
          <w:lang w:val="en-US"/>
        </w:rPr>
        <w:t>.  Rx was 8 weeks &gt;&gt; Significant improvements in the performance of chosen activities (observed)Improvements in motor-related outcomes were substantial but not statistically significant. (Trunk Impairment Scale, Functional Reach Test, muscle strength dynamometry, ROM with goniometer)</w:t>
      </w:r>
    </w:p>
    <w:p w14:paraId="150B3CBC" w14:textId="16A24670" w:rsidR="00171303" w:rsidRPr="00171303" w:rsidRDefault="00171303" w:rsidP="00171303">
      <w:pPr>
        <w:numPr>
          <w:ilvl w:val="0"/>
          <w:numId w:val="2"/>
        </w:numPr>
      </w:pPr>
      <w:r w:rsidRPr="00171303">
        <w:rPr>
          <w:lang w:val="en-US"/>
        </w:rPr>
        <w:t xml:space="preserve">Reedman, S. E., </w:t>
      </w:r>
      <w:proofErr w:type="spellStart"/>
      <w:r w:rsidRPr="00171303">
        <w:rPr>
          <w:lang w:val="en-US"/>
        </w:rPr>
        <w:t>Jayan</w:t>
      </w:r>
      <w:proofErr w:type="spellEnd"/>
      <w:r w:rsidRPr="00171303">
        <w:rPr>
          <w:lang w:val="en-US"/>
        </w:rPr>
        <w:t xml:space="preserve">, L., Boyd, R. N., </w:t>
      </w:r>
      <w:proofErr w:type="spellStart"/>
      <w:r w:rsidRPr="00171303">
        <w:rPr>
          <w:lang w:val="en-US"/>
        </w:rPr>
        <w:t>Ziviani</w:t>
      </w:r>
      <w:proofErr w:type="spellEnd"/>
      <w:r w:rsidRPr="00171303">
        <w:rPr>
          <w:lang w:val="en-US"/>
        </w:rPr>
        <w:t xml:space="preserve">, J., Elliott, C., &amp; </w:t>
      </w:r>
      <w:proofErr w:type="spellStart"/>
      <w:r w:rsidRPr="00171303">
        <w:rPr>
          <w:lang w:val="en-US"/>
        </w:rPr>
        <w:t>Sakzewski</w:t>
      </w:r>
      <w:proofErr w:type="spellEnd"/>
      <w:r w:rsidRPr="00171303">
        <w:rPr>
          <w:lang w:val="en-US"/>
        </w:rPr>
        <w:t>, L. (</w:t>
      </w:r>
      <w:r w:rsidRPr="00171303">
        <w:rPr>
          <w:b/>
          <w:bCs/>
          <w:lang w:val="en-US"/>
        </w:rPr>
        <w:t>2021</w:t>
      </w:r>
      <w:r w:rsidRPr="00171303">
        <w:rPr>
          <w:lang w:val="en-US"/>
        </w:rPr>
        <w:t xml:space="preserve">). </w:t>
      </w:r>
      <w:r w:rsidRPr="00171303">
        <w:rPr>
          <w:b/>
          <w:bCs/>
          <w:lang w:val="en-US"/>
        </w:rPr>
        <w:t xml:space="preserve">Descriptive contents analysis of </w:t>
      </w:r>
      <w:proofErr w:type="spellStart"/>
      <w:r w:rsidRPr="00171303">
        <w:rPr>
          <w:b/>
          <w:bCs/>
          <w:lang w:val="en-US"/>
        </w:rPr>
        <w:t>ParticiPAte</w:t>
      </w:r>
      <w:proofErr w:type="spellEnd"/>
      <w:r w:rsidRPr="00171303">
        <w:rPr>
          <w:b/>
          <w:bCs/>
          <w:lang w:val="en-US"/>
        </w:rPr>
        <w:t xml:space="preserve"> CP: a participation-focused intervention to promote physical activity participation in children with cerebral palsy</w:t>
      </w:r>
      <w:r w:rsidRPr="00171303">
        <w:rPr>
          <w:lang w:val="en-US"/>
        </w:rPr>
        <w:t xml:space="preserve">. </w:t>
      </w:r>
      <w:r w:rsidRPr="00171303">
        <w:rPr>
          <w:i/>
          <w:iCs/>
          <w:lang w:val="en-US"/>
        </w:rPr>
        <w:t>Disability and Rehabilitation</w:t>
      </w:r>
      <w:r w:rsidRPr="00171303">
        <w:rPr>
          <w:lang w:val="en-US"/>
        </w:rPr>
        <w:t xml:space="preserve">, </w:t>
      </w:r>
      <w:r w:rsidRPr="00171303">
        <w:rPr>
          <w:i/>
          <w:iCs/>
          <w:lang w:val="en-US"/>
        </w:rPr>
        <w:t>0</w:t>
      </w:r>
      <w:r w:rsidRPr="00171303">
        <w:rPr>
          <w:lang w:val="en-US"/>
        </w:rPr>
        <w:t>(0), 1–11</w:t>
      </w:r>
    </w:p>
    <w:p w14:paraId="6A74E4D7" w14:textId="7639D054" w:rsidR="00171303" w:rsidRPr="002715E7" w:rsidRDefault="00171303" w:rsidP="00171303">
      <w:pPr>
        <w:numPr>
          <w:ilvl w:val="1"/>
          <w:numId w:val="2"/>
        </w:numPr>
      </w:pPr>
      <w:r w:rsidRPr="00352E11">
        <w:rPr>
          <w:lang w:val="en-US"/>
        </w:rPr>
        <w:t xml:space="preserve">18 Rx 19 control (usual care or waitlist) – </w:t>
      </w:r>
      <w:proofErr w:type="gramStart"/>
      <w:r w:rsidRPr="00352E11">
        <w:rPr>
          <w:lang w:val="en-US"/>
        </w:rPr>
        <w:t>Rx  was</w:t>
      </w:r>
      <w:proofErr w:type="gramEnd"/>
      <w:r w:rsidRPr="00352E11">
        <w:rPr>
          <w:lang w:val="en-US"/>
        </w:rPr>
        <w:t xml:space="preserve"> 8 weeks and addressed all barriers to participation including BS&amp;F, skills training, environmental and social barriers and </w:t>
      </w:r>
      <w:proofErr w:type="spellStart"/>
      <w:r w:rsidRPr="00352E11">
        <w:rPr>
          <w:lang w:val="en-US"/>
        </w:rPr>
        <w:t>behaviour</w:t>
      </w:r>
      <w:proofErr w:type="spellEnd"/>
      <w:r w:rsidRPr="00352E11">
        <w:rPr>
          <w:lang w:val="en-US"/>
        </w:rPr>
        <w:t xml:space="preserve"> change techniques using self-determination theory which </w:t>
      </w:r>
      <w:proofErr w:type="spellStart"/>
      <w:r w:rsidRPr="00352E11">
        <w:rPr>
          <w:lang w:val="en-US"/>
        </w:rPr>
        <w:t>primarly</w:t>
      </w:r>
      <w:proofErr w:type="spellEnd"/>
      <w:r w:rsidRPr="00352E11">
        <w:rPr>
          <w:lang w:val="en-US"/>
        </w:rPr>
        <w:t xml:space="preserve"> address intrinsic motivation – no BS&amp;F outcomes were included only participation and PA outcomes. Children who had really low PA prior showed the best </w:t>
      </w:r>
      <w:proofErr w:type="gramStart"/>
      <w:r w:rsidRPr="00352E11">
        <w:rPr>
          <w:lang w:val="en-US"/>
        </w:rPr>
        <w:t>improvements</w:t>
      </w:r>
      <w:proofErr w:type="gramEnd"/>
      <w:r w:rsidRPr="00352E11">
        <w:rPr>
          <w:lang w:val="en-US"/>
        </w:rPr>
        <w:t xml:space="preserve"> but results were not statistically significant</w:t>
      </w:r>
    </w:p>
    <w:p w14:paraId="3F844ACA" w14:textId="77777777" w:rsidR="000B61DD" w:rsidRPr="002715E7" w:rsidRDefault="000B61DD" w:rsidP="000B61DD">
      <w:pPr>
        <w:pStyle w:val="ListParagraph"/>
        <w:ind w:left="1440"/>
        <w:rPr>
          <w:lang w:val="en-US"/>
        </w:rPr>
      </w:pPr>
    </w:p>
    <w:p w14:paraId="22FA1590" w14:textId="77777777" w:rsidR="00171303" w:rsidRPr="00171303" w:rsidRDefault="00171303" w:rsidP="002715E7">
      <w:pPr>
        <w:ind w:left="1440"/>
      </w:pPr>
    </w:p>
    <w:p w14:paraId="032039E5" w14:textId="77777777" w:rsidR="00171303" w:rsidRDefault="00171303"/>
    <w:sectPr w:rsidR="00171303" w:rsidSect="000B61D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82313"/>
    <w:multiLevelType w:val="hybridMultilevel"/>
    <w:tmpl w:val="72245F8A"/>
    <w:lvl w:ilvl="0" w:tplc="B0BA6D10">
      <w:start w:val="1"/>
      <w:numFmt w:val="bullet"/>
      <w:lvlText w:val=""/>
      <w:lvlJc w:val="left"/>
      <w:pPr>
        <w:tabs>
          <w:tab w:val="num" w:pos="720"/>
        </w:tabs>
        <w:ind w:left="720" w:hanging="360"/>
      </w:pPr>
      <w:rPr>
        <w:rFonts w:ascii="Wingdings" w:hAnsi="Wingdings" w:hint="default"/>
      </w:rPr>
    </w:lvl>
    <w:lvl w:ilvl="1" w:tplc="6C764A7E">
      <w:start w:val="1"/>
      <w:numFmt w:val="bullet"/>
      <w:lvlText w:val=""/>
      <w:lvlJc w:val="left"/>
      <w:pPr>
        <w:tabs>
          <w:tab w:val="num" w:pos="1440"/>
        </w:tabs>
        <w:ind w:left="1440" w:hanging="360"/>
      </w:pPr>
      <w:rPr>
        <w:rFonts w:ascii="Wingdings" w:hAnsi="Wingdings" w:hint="default"/>
      </w:rPr>
    </w:lvl>
    <w:lvl w:ilvl="2" w:tplc="1E785AC8" w:tentative="1">
      <w:start w:val="1"/>
      <w:numFmt w:val="bullet"/>
      <w:lvlText w:val=""/>
      <w:lvlJc w:val="left"/>
      <w:pPr>
        <w:tabs>
          <w:tab w:val="num" w:pos="2160"/>
        </w:tabs>
        <w:ind w:left="2160" w:hanging="360"/>
      </w:pPr>
      <w:rPr>
        <w:rFonts w:ascii="Wingdings" w:hAnsi="Wingdings" w:hint="default"/>
      </w:rPr>
    </w:lvl>
    <w:lvl w:ilvl="3" w:tplc="27147FC0" w:tentative="1">
      <w:start w:val="1"/>
      <w:numFmt w:val="bullet"/>
      <w:lvlText w:val=""/>
      <w:lvlJc w:val="left"/>
      <w:pPr>
        <w:tabs>
          <w:tab w:val="num" w:pos="2880"/>
        </w:tabs>
        <w:ind w:left="2880" w:hanging="360"/>
      </w:pPr>
      <w:rPr>
        <w:rFonts w:ascii="Wingdings" w:hAnsi="Wingdings" w:hint="default"/>
      </w:rPr>
    </w:lvl>
    <w:lvl w:ilvl="4" w:tplc="8642252A" w:tentative="1">
      <w:start w:val="1"/>
      <w:numFmt w:val="bullet"/>
      <w:lvlText w:val=""/>
      <w:lvlJc w:val="left"/>
      <w:pPr>
        <w:tabs>
          <w:tab w:val="num" w:pos="3600"/>
        </w:tabs>
        <w:ind w:left="3600" w:hanging="360"/>
      </w:pPr>
      <w:rPr>
        <w:rFonts w:ascii="Wingdings" w:hAnsi="Wingdings" w:hint="default"/>
      </w:rPr>
    </w:lvl>
    <w:lvl w:ilvl="5" w:tplc="4844B106" w:tentative="1">
      <w:start w:val="1"/>
      <w:numFmt w:val="bullet"/>
      <w:lvlText w:val=""/>
      <w:lvlJc w:val="left"/>
      <w:pPr>
        <w:tabs>
          <w:tab w:val="num" w:pos="4320"/>
        </w:tabs>
        <w:ind w:left="4320" w:hanging="360"/>
      </w:pPr>
      <w:rPr>
        <w:rFonts w:ascii="Wingdings" w:hAnsi="Wingdings" w:hint="default"/>
      </w:rPr>
    </w:lvl>
    <w:lvl w:ilvl="6" w:tplc="D67CD972" w:tentative="1">
      <w:start w:val="1"/>
      <w:numFmt w:val="bullet"/>
      <w:lvlText w:val=""/>
      <w:lvlJc w:val="left"/>
      <w:pPr>
        <w:tabs>
          <w:tab w:val="num" w:pos="5040"/>
        </w:tabs>
        <w:ind w:left="5040" w:hanging="360"/>
      </w:pPr>
      <w:rPr>
        <w:rFonts w:ascii="Wingdings" w:hAnsi="Wingdings" w:hint="default"/>
      </w:rPr>
    </w:lvl>
    <w:lvl w:ilvl="7" w:tplc="7E06409E" w:tentative="1">
      <w:start w:val="1"/>
      <w:numFmt w:val="bullet"/>
      <w:lvlText w:val=""/>
      <w:lvlJc w:val="left"/>
      <w:pPr>
        <w:tabs>
          <w:tab w:val="num" w:pos="5760"/>
        </w:tabs>
        <w:ind w:left="5760" w:hanging="360"/>
      </w:pPr>
      <w:rPr>
        <w:rFonts w:ascii="Wingdings" w:hAnsi="Wingdings" w:hint="default"/>
      </w:rPr>
    </w:lvl>
    <w:lvl w:ilvl="8" w:tplc="7448697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144FB7"/>
    <w:multiLevelType w:val="hybridMultilevel"/>
    <w:tmpl w:val="E9088AEE"/>
    <w:lvl w:ilvl="0" w:tplc="591CED52">
      <w:start w:val="1"/>
      <w:numFmt w:val="decimal"/>
      <w:lvlText w:val="%1."/>
      <w:lvlJc w:val="left"/>
      <w:pPr>
        <w:tabs>
          <w:tab w:val="num" w:pos="720"/>
        </w:tabs>
        <w:ind w:left="720" w:hanging="360"/>
      </w:pPr>
    </w:lvl>
    <w:lvl w:ilvl="1" w:tplc="0894670A" w:tentative="1">
      <w:start w:val="1"/>
      <w:numFmt w:val="decimal"/>
      <w:lvlText w:val="%2."/>
      <w:lvlJc w:val="left"/>
      <w:pPr>
        <w:tabs>
          <w:tab w:val="num" w:pos="1440"/>
        </w:tabs>
        <w:ind w:left="1440" w:hanging="360"/>
      </w:pPr>
    </w:lvl>
    <w:lvl w:ilvl="2" w:tplc="412C9AC0" w:tentative="1">
      <w:start w:val="1"/>
      <w:numFmt w:val="decimal"/>
      <w:lvlText w:val="%3."/>
      <w:lvlJc w:val="left"/>
      <w:pPr>
        <w:tabs>
          <w:tab w:val="num" w:pos="2160"/>
        </w:tabs>
        <w:ind w:left="2160" w:hanging="360"/>
      </w:pPr>
    </w:lvl>
    <w:lvl w:ilvl="3" w:tplc="674A0B1C" w:tentative="1">
      <w:start w:val="1"/>
      <w:numFmt w:val="decimal"/>
      <w:lvlText w:val="%4."/>
      <w:lvlJc w:val="left"/>
      <w:pPr>
        <w:tabs>
          <w:tab w:val="num" w:pos="2880"/>
        </w:tabs>
        <w:ind w:left="2880" w:hanging="360"/>
      </w:pPr>
    </w:lvl>
    <w:lvl w:ilvl="4" w:tplc="B3BA93CA" w:tentative="1">
      <w:start w:val="1"/>
      <w:numFmt w:val="decimal"/>
      <w:lvlText w:val="%5."/>
      <w:lvlJc w:val="left"/>
      <w:pPr>
        <w:tabs>
          <w:tab w:val="num" w:pos="3600"/>
        </w:tabs>
        <w:ind w:left="3600" w:hanging="360"/>
      </w:pPr>
    </w:lvl>
    <w:lvl w:ilvl="5" w:tplc="3FEED784" w:tentative="1">
      <w:start w:val="1"/>
      <w:numFmt w:val="decimal"/>
      <w:lvlText w:val="%6."/>
      <w:lvlJc w:val="left"/>
      <w:pPr>
        <w:tabs>
          <w:tab w:val="num" w:pos="4320"/>
        </w:tabs>
        <w:ind w:left="4320" w:hanging="360"/>
      </w:pPr>
    </w:lvl>
    <w:lvl w:ilvl="6" w:tplc="71F67A48" w:tentative="1">
      <w:start w:val="1"/>
      <w:numFmt w:val="decimal"/>
      <w:lvlText w:val="%7."/>
      <w:lvlJc w:val="left"/>
      <w:pPr>
        <w:tabs>
          <w:tab w:val="num" w:pos="5040"/>
        </w:tabs>
        <w:ind w:left="5040" w:hanging="360"/>
      </w:pPr>
    </w:lvl>
    <w:lvl w:ilvl="7" w:tplc="A9C44EDA" w:tentative="1">
      <w:start w:val="1"/>
      <w:numFmt w:val="decimal"/>
      <w:lvlText w:val="%8."/>
      <w:lvlJc w:val="left"/>
      <w:pPr>
        <w:tabs>
          <w:tab w:val="num" w:pos="5760"/>
        </w:tabs>
        <w:ind w:left="5760" w:hanging="360"/>
      </w:pPr>
    </w:lvl>
    <w:lvl w:ilvl="8" w:tplc="811E039A" w:tentative="1">
      <w:start w:val="1"/>
      <w:numFmt w:val="decimal"/>
      <w:lvlText w:val="%9."/>
      <w:lvlJc w:val="left"/>
      <w:pPr>
        <w:tabs>
          <w:tab w:val="num" w:pos="6480"/>
        </w:tabs>
        <w:ind w:left="6480" w:hanging="360"/>
      </w:pPr>
    </w:lvl>
  </w:abstractNum>
  <w:num w:numId="1" w16cid:durableId="240332037">
    <w:abstractNumId w:val="1"/>
  </w:num>
  <w:num w:numId="2" w16cid:durableId="953289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11"/>
    <w:rsid w:val="000A43B0"/>
    <w:rsid w:val="000B61DD"/>
    <w:rsid w:val="000D1C94"/>
    <w:rsid w:val="00171303"/>
    <w:rsid w:val="001E6E91"/>
    <w:rsid w:val="002715E7"/>
    <w:rsid w:val="00352E11"/>
    <w:rsid w:val="003A6D0A"/>
    <w:rsid w:val="003C1CB1"/>
    <w:rsid w:val="003E2661"/>
    <w:rsid w:val="00407563"/>
    <w:rsid w:val="0078426E"/>
    <w:rsid w:val="00AB2EF5"/>
    <w:rsid w:val="00AC4F63"/>
    <w:rsid w:val="00B27061"/>
    <w:rsid w:val="00CD7C5C"/>
    <w:rsid w:val="00D85F57"/>
    <w:rsid w:val="00DC6171"/>
    <w:rsid w:val="00E448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2F00130C"/>
  <w15:chartTrackingRefBased/>
  <w15:docId w15:val="{D39AFC37-A707-D04E-930C-E9CBEBB1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5E7"/>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271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251047">
      <w:bodyDiv w:val="1"/>
      <w:marLeft w:val="0"/>
      <w:marRight w:val="0"/>
      <w:marTop w:val="0"/>
      <w:marBottom w:val="0"/>
      <w:divBdr>
        <w:top w:val="none" w:sz="0" w:space="0" w:color="auto"/>
        <w:left w:val="none" w:sz="0" w:space="0" w:color="auto"/>
        <w:bottom w:val="none" w:sz="0" w:space="0" w:color="auto"/>
        <w:right w:val="none" w:sz="0" w:space="0" w:color="auto"/>
      </w:divBdr>
    </w:div>
    <w:div w:id="898055416">
      <w:bodyDiv w:val="1"/>
      <w:marLeft w:val="0"/>
      <w:marRight w:val="0"/>
      <w:marTop w:val="0"/>
      <w:marBottom w:val="0"/>
      <w:divBdr>
        <w:top w:val="none" w:sz="0" w:space="0" w:color="auto"/>
        <w:left w:val="none" w:sz="0" w:space="0" w:color="auto"/>
        <w:bottom w:val="none" w:sz="0" w:space="0" w:color="auto"/>
        <w:right w:val="none" w:sz="0" w:space="0" w:color="auto"/>
      </w:divBdr>
      <w:divsChild>
        <w:div w:id="555355466">
          <w:marLeft w:val="547"/>
          <w:marRight w:val="0"/>
          <w:marTop w:val="0"/>
          <w:marBottom w:val="120"/>
          <w:divBdr>
            <w:top w:val="none" w:sz="0" w:space="0" w:color="auto"/>
            <w:left w:val="none" w:sz="0" w:space="0" w:color="auto"/>
            <w:bottom w:val="none" w:sz="0" w:space="0" w:color="auto"/>
            <w:right w:val="none" w:sz="0" w:space="0" w:color="auto"/>
          </w:divBdr>
        </w:div>
        <w:div w:id="695036967">
          <w:marLeft w:val="547"/>
          <w:marRight w:val="0"/>
          <w:marTop w:val="0"/>
          <w:marBottom w:val="120"/>
          <w:divBdr>
            <w:top w:val="none" w:sz="0" w:space="0" w:color="auto"/>
            <w:left w:val="none" w:sz="0" w:space="0" w:color="auto"/>
            <w:bottom w:val="none" w:sz="0" w:space="0" w:color="auto"/>
            <w:right w:val="none" w:sz="0" w:space="0" w:color="auto"/>
          </w:divBdr>
        </w:div>
        <w:div w:id="152915271">
          <w:marLeft w:val="547"/>
          <w:marRight w:val="0"/>
          <w:marTop w:val="0"/>
          <w:marBottom w:val="120"/>
          <w:divBdr>
            <w:top w:val="none" w:sz="0" w:space="0" w:color="auto"/>
            <w:left w:val="none" w:sz="0" w:space="0" w:color="auto"/>
            <w:bottom w:val="none" w:sz="0" w:space="0" w:color="auto"/>
            <w:right w:val="none" w:sz="0" w:space="0" w:color="auto"/>
          </w:divBdr>
        </w:div>
        <w:div w:id="444232384">
          <w:marLeft w:val="547"/>
          <w:marRight w:val="0"/>
          <w:marTop w:val="0"/>
          <w:marBottom w:val="120"/>
          <w:divBdr>
            <w:top w:val="none" w:sz="0" w:space="0" w:color="auto"/>
            <w:left w:val="none" w:sz="0" w:space="0" w:color="auto"/>
            <w:bottom w:val="none" w:sz="0" w:space="0" w:color="auto"/>
            <w:right w:val="none" w:sz="0" w:space="0" w:color="auto"/>
          </w:divBdr>
        </w:div>
        <w:div w:id="662709260">
          <w:marLeft w:val="547"/>
          <w:marRight w:val="0"/>
          <w:marTop w:val="0"/>
          <w:marBottom w:val="120"/>
          <w:divBdr>
            <w:top w:val="none" w:sz="0" w:space="0" w:color="auto"/>
            <w:left w:val="none" w:sz="0" w:space="0" w:color="auto"/>
            <w:bottom w:val="none" w:sz="0" w:space="0" w:color="auto"/>
            <w:right w:val="none" w:sz="0" w:space="0" w:color="auto"/>
          </w:divBdr>
        </w:div>
        <w:div w:id="2095348525">
          <w:marLeft w:val="547"/>
          <w:marRight w:val="0"/>
          <w:marTop w:val="0"/>
          <w:marBottom w:val="120"/>
          <w:divBdr>
            <w:top w:val="none" w:sz="0" w:space="0" w:color="auto"/>
            <w:left w:val="none" w:sz="0" w:space="0" w:color="auto"/>
            <w:bottom w:val="none" w:sz="0" w:space="0" w:color="auto"/>
            <w:right w:val="none" w:sz="0" w:space="0" w:color="auto"/>
          </w:divBdr>
        </w:div>
        <w:div w:id="197936831">
          <w:marLeft w:val="547"/>
          <w:marRight w:val="0"/>
          <w:marTop w:val="0"/>
          <w:marBottom w:val="120"/>
          <w:divBdr>
            <w:top w:val="none" w:sz="0" w:space="0" w:color="auto"/>
            <w:left w:val="none" w:sz="0" w:space="0" w:color="auto"/>
            <w:bottom w:val="none" w:sz="0" w:space="0" w:color="auto"/>
            <w:right w:val="none" w:sz="0" w:space="0" w:color="auto"/>
          </w:divBdr>
        </w:div>
        <w:div w:id="23486098">
          <w:marLeft w:val="547"/>
          <w:marRight w:val="0"/>
          <w:marTop w:val="0"/>
          <w:marBottom w:val="120"/>
          <w:divBdr>
            <w:top w:val="none" w:sz="0" w:space="0" w:color="auto"/>
            <w:left w:val="none" w:sz="0" w:space="0" w:color="auto"/>
            <w:bottom w:val="none" w:sz="0" w:space="0" w:color="auto"/>
            <w:right w:val="none" w:sz="0" w:space="0" w:color="auto"/>
          </w:divBdr>
        </w:div>
        <w:div w:id="1694067634">
          <w:marLeft w:val="547"/>
          <w:marRight w:val="0"/>
          <w:marTop w:val="0"/>
          <w:marBottom w:val="120"/>
          <w:divBdr>
            <w:top w:val="none" w:sz="0" w:space="0" w:color="auto"/>
            <w:left w:val="none" w:sz="0" w:space="0" w:color="auto"/>
            <w:bottom w:val="none" w:sz="0" w:space="0" w:color="auto"/>
            <w:right w:val="none" w:sz="0" w:space="0" w:color="auto"/>
          </w:divBdr>
        </w:div>
      </w:divsChild>
    </w:div>
    <w:div w:id="903488326">
      <w:bodyDiv w:val="1"/>
      <w:marLeft w:val="0"/>
      <w:marRight w:val="0"/>
      <w:marTop w:val="0"/>
      <w:marBottom w:val="0"/>
      <w:divBdr>
        <w:top w:val="none" w:sz="0" w:space="0" w:color="auto"/>
        <w:left w:val="none" w:sz="0" w:space="0" w:color="auto"/>
        <w:bottom w:val="none" w:sz="0" w:space="0" w:color="auto"/>
        <w:right w:val="none" w:sz="0" w:space="0" w:color="auto"/>
      </w:divBdr>
    </w:div>
    <w:div w:id="1155872957">
      <w:bodyDiv w:val="1"/>
      <w:marLeft w:val="0"/>
      <w:marRight w:val="0"/>
      <w:marTop w:val="0"/>
      <w:marBottom w:val="0"/>
      <w:divBdr>
        <w:top w:val="none" w:sz="0" w:space="0" w:color="auto"/>
        <w:left w:val="none" w:sz="0" w:space="0" w:color="auto"/>
        <w:bottom w:val="none" w:sz="0" w:space="0" w:color="auto"/>
        <w:right w:val="none" w:sz="0" w:space="0" w:color="auto"/>
      </w:divBdr>
      <w:divsChild>
        <w:div w:id="30962656">
          <w:marLeft w:val="360"/>
          <w:marRight w:val="0"/>
          <w:marTop w:val="0"/>
          <w:marBottom w:val="0"/>
          <w:divBdr>
            <w:top w:val="none" w:sz="0" w:space="0" w:color="auto"/>
            <w:left w:val="none" w:sz="0" w:space="0" w:color="auto"/>
            <w:bottom w:val="none" w:sz="0" w:space="0" w:color="auto"/>
            <w:right w:val="none" w:sz="0" w:space="0" w:color="auto"/>
          </w:divBdr>
        </w:div>
        <w:div w:id="2088456276">
          <w:marLeft w:val="360"/>
          <w:marRight w:val="0"/>
          <w:marTop w:val="0"/>
          <w:marBottom w:val="0"/>
          <w:divBdr>
            <w:top w:val="none" w:sz="0" w:space="0" w:color="auto"/>
            <w:left w:val="none" w:sz="0" w:space="0" w:color="auto"/>
            <w:bottom w:val="none" w:sz="0" w:space="0" w:color="auto"/>
            <w:right w:val="none" w:sz="0" w:space="0" w:color="auto"/>
          </w:divBdr>
        </w:div>
        <w:div w:id="1311448074">
          <w:marLeft w:val="360"/>
          <w:marRight w:val="0"/>
          <w:marTop w:val="0"/>
          <w:marBottom w:val="0"/>
          <w:divBdr>
            <w:top w:val="none" w:sz="0" w:space="0" w:color="auto"/>
            <w:left w:val="none" w:sz="0" w:space="0" w:color="auto"/>
            <w:bottom w:val="none" w:sz="0" w:space="0" w:color="auto"/>
            <w:right w:val="none" w:sz="0" w:space="0" w:color="auto"/>
          </w:divBdr>
        </w:div>
        <w:div w:id="734014403">
          <w:marLeft w:val="360"/>
          <w:marRight w:val="0"/>
          <w:marTop w:val="0"/>
          <w:marBottom w:val="0"/>
          <w:divBdr>
            <w:top w:val="none" w:sz="0" w:space="0" w:color="auto"/>
            <w:left w:val="none" w:sz="0" w:space="0" w:color="auto"/>
            <w:bottom w:val="none" w:sz="0" w:space="0" w:color="auto"/>
            <w:right w:val="none" w:sz="0" w:space="0" w:color="auto"/>
          </w:divBdr>
        </w:div>
        <w:div w:id="1647971807">
          <w:marLeft w:val="360"/>
          <w:marRight w:val="0"/>
          <w:marTop w:val="0"/>
          <w:marBottom w:val="0"/>
          <w:divBdr>
            <w:top w:val="none" w:sz="0" w:space="0" w:color="auto"/>
            <w:left w:val="none" w:sz="0" w:space="0" w:color="auto"/>
            <w:bottom w:val="none" w:sz="0" w:space="0" w:color="auto"/>
            <w:right w:val="none" w:sz="0" w:space="0" w:color="auto"/>
          </w:divBdr>
        </w:div>
        <w:div w:id="611790325">
          <w:marLeft w:val="360"/>
          <w:marRight w:val="0"/>
          <w:marTop w:val="0"/>
          <w:marBottom w:val="0"/>
          <w:divBdr>
            <w:top w:val="none" w:sz="0" w:space="0" w:color="auto"/>
            <w:left w:val="none" w:sz="0" w:space="0" w:color="auto"/>
            <w:bottom w:val="none" w:sz="0" w:space="0" w:color="auto"/>
            <w:right w:val="none" w:sz="0" w:space="0" w:color="auto"/>
          </w:divBdr>
        </w:div>
        <w:div w:id="1053773979">
          <w:marLeft w:val="360"/>
          <w:marRight w:val="0"/>
          <w:marTop w:val="0"/>
          <w:marBottom w:val="0"/>
          <w:divBdr>
            <w:top w:val="none" w:sz="0" w:space="0" w:color="auto"/>
            <w:left w:val="none" w:sz="0" w:space="0" w:color="auto"/>
            <w:bottom w:val="none" w:sz="0" w:space="0" w:color="auto"/>
            <w:right w:val="none" w:sz="0" w:space="0" w:color="auto"/>
          </w:divBdr>
        </w:div>
        <w:div w:id="1651132066">
          <w:marLeft w:val="360"/>
          <w:marRight w:val="0"/>
          <w:marTop w:val="0"/>
          <w:marBottom w:val="0"/>
          <w:divBdr>
            <w:top w:val="none" w:sz="0" w:space="0" w:color="auto"/>
            <w:left w:val="none" w:sz="0" w:space="0" w:color="auto"/>
            <w:bottom w:val="none" w:sz="0" w:space="0" w:color="auto"/>
            <w:right w:val="none" w:sz="0" w:space="0" w:color="auto"/>
          </w:divBdr>
        </w:div>
      </w:divsChild>
    </w:div>
    <w:div w:id="1705983847">
      <w:bodyDiv w:val="1"/>
      <w:marLeft w:val="0"/>
      <w:marRight w:val="0"/>
      <w:marTop w:val="0"/>
      <w:marBottom w:val="0"/>
      <w:divBdr>
        <w:top w:val="none" w:sz="0" w:space="0" w:color="auto"/>
        <w:left w:val="none" w:sz="0" w:space="0" w:color="auto"/>
        <w:bottom w:val="none" w:sz="0" w:space="0" w:color="auto"/>
        <w:right w:val="none" w:sz="0" w:space="0" w:color="auto"/>
      </w:divBdr>
    </w:div>
    <w:div w:id="171549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E Silva</dc:creator>
  <cp:keywords/>
  <dc:description/>
  <cp:lastModifiedBy>Mindy E Silva</cp:lastModifiedBy>
  <cp:revision>2</cp:revision>
  <dcterms:created xsi:type="dcterms:W3CDTF">2022-04-17T22:18:00Z</dcterms:created>
  <dcterms:modified xsi:type="dcterms:W3CDTF">2022-04-17T22:18:00Z</dcterms:modified>
</cp:coreProperties>
</file>